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374FD" w14:textId="77777777" w:rsidR="0052152A" w:rsidRPr="00706523" w:rsidRDefault="0052152A" w:rsidP="0052152A">
      <w:pPr>
        <w:spacing w:after="0"/>
        <w:rPr>
          <w:rFonts w:ascii="Times New Roman" w:hAnsi="Times New Roman" w:cs="Times New Roman"/>
          <w:b/>
          <w:bCs/>
          <w:sz w:val="40"/>
          <w:szCs w:val="40"/>
        </w:rPr>
      </w:pPr>
      <w:r w:rsidRPr="00706523">
        <w:rPr>
          <w:rFonts w:ascii="Times New Roman" w:hAnsi="Times New Roman" w:cs="Times New Roman"/>
          <w:b/>
          <w:bCs/>
          <w:sz w:val="40"/>
          <w:szCs w:val="40"/>
        </w:rPr>
        <w:t>PCIDSS Changes 2024</w:t>
      </w:r>
      <w:r>
        <w:rPr>
          <w:rFonts w:ascii="Times New Roman" w:hAnsi="Times New Roman" w:cs="Times New Roman"/>
          <w:b/>
          <w:bCs/>
          <w:sz w:val="40"/>
          <w:szCs w:val="40"/>
        </w:rPr>
        <w:t xml:space="preserve"> and 2025 Information</w:t>
      </w:r>
    </w:p>
    <w:p w14:paraId="355BEECB" w14:textId="77777777" w:rsidR="0052152A" w:rsidRPr="0064713B" w:rsidRDefault="0052152A" w:rsidP="0052152A">
      <w:pPr>
        <w:spacing w:after="0"/>
        <w:rPr>
          <w:rFonts w:ascii="Times New Roman" w:hAnsi="Times New Roman" w:cs="Times New Roman"/>
          <w:b/>
          <w:bCs/>
          <w:sz w:val="24"/>
          <w:szCs w:val="24"/>
        </w:rPr>
      </w:pPr>
      <w:r w:rsidRPr="0064713B">
        <w:rPr>
          <w:rFonts w:ascii="Times New Roman" w:hAnsi="Times New Roman" w:cs="Times New Roman"/>
          <w:sz w:val="24"/>
          <w:szCs w:val="24"/>
          <w:shd w:val="clear" w:color="auto" w:fill="FFFFFF"/>
        </w:rPr>
        <w:t>PCI DSS version 4.0 goes into effect on </w:t>
      </w:r>
      <w:r w:rsidRPr="0064713B">
        <w:rPr>
          <w:rStyle w:val="Strong"/>
          <w:rFonts w:ascii="Times New Roman" w:hAnsi="Times New Roman" w:cs="Times New Roman"/>
          <w:sz w:val="24"/>
          <w:szCs w:val="24"/>
        </w:rPr>
        <w:t>March 31, 2024</w:t>
      </w:r>
      <w:r w:rsidRPr="0064713B">
        <w:rPr>
          <w:rFonts w:ascii="Times New Roman" w:hAnsi="Times New Roman" w:cs="Times New Roman"/>
          <w:sz w:val="24"/>
          <w:szCs w:val="24"/>
          <w:shd w:val="clear" w:color="auto" w:fill="FFFFFF"/>
        </w:rPr>
        <w:t xml:space="preserve">, and has 63 new requirements. Some requirements are effective immediately, but the bulk isn’t </w:t>
      </w:r>
      <w:r w:rsidRPr="0064713B">
        <w:rPr>
          <w:rFonts w:ascii="Times New Roman" w:hAnsi="Times New Roman" w:cs="Times New Roman"/>
          <w:b/>
          <w:bCs/>
          <w:sz w:val="24"/>
          <w:szCs w:val="24"/>
          <w:shd w:val="clear" w:color="auto" w:fill="FFFFFF"/>
        </w:rPr>
        <w:t>effective until March 31, 2025, giving</w:t>
      </w:r>
      <w:r w:rsidRPr="0064713B">
        <w:rPr>
          <w:rFonts w:ascii="Times New Roman" w:hAnsi="Times New Roman" w:cs="Times New Roman"/>
          <w:sz w:val="24"/>
          <w:szCs w:val="24"/>
          <w:shd w:val="clear" w:color="auto" w:fill="FFFFFF"/>
        </w:rPr>
        <w:t xml:space="preserve"> businesses a year-long transition period to implement the more challenging requirements.</w:t>
      </w:r>
    </w:p>
    <w:p w14:paraId="22E4B644" w14:textId="77777777" w:rsidR="0052152A" w:rsidRPr="00887AE0" w:rsidRDefault="0052152A" w:rsidP="0052152A">
      <w:pPr>
        <w:shd w:val="clear" w:color="auto" w:fill="F9F9F9"/>
        <w:spacing w:after="0" w:line="240" w:lineRule="auto"/>
        <w:rPr>
          <w:rFonts w:ascii="Times New Roman" w:eastAsia="Times New Roman" w:hAnsi="Times New Roman" w:cs="Times New Roman"/>
          <w:color w:val="111111"/>
          <w:kern w:val="0"/>
          <w:sz w:val="24"/>
          <w:szCs w:val="24"/>
          <w14:ligatures w14:val="none"/>
        </w:rPr>
      </w:pPr>
    </w:p>
    <w:p w14:paraId="3B312459" w14:textId="77777777" w:rsidR="0052152A" w:rsidRPr="00887AE0" w:rsidRDefault="0052152A" w:rsidP="0052152A">
      <w:pPr>
        <w:shd w:val="clear" w:color="auto" w:fill="F9F9F9"/>
        <w:spacing w:after="0" w:line="240" w:lineRule="auto"/>
        <w:rPr>
          <w:rFonts w:ascii="Times New Roman" w:eastAsia="Times New Roman" w:hAnsi="Times New Roman" w:cs="Times New Roman"/>
          <w:color w:val="111111"/>
          <w:kern w:val="0"/>
          <w:sz w:val="24"/>
          <w:szCs w:val="24"/>
          <w14:ligatures w14:val="none"/>
        </w:rPr>
      </w:pPr>
      <w:r w:rsidRPr="00887AE0">
        <w:rPr>
          <w:rFonts w:ascii="Times New Roman" w:eastAsia="Times New Roman" w:hAnsi="Times New Roman" w:cs="Times New Roman"/>
          <w:color w:val="111111"/>
          <w:kern w:val="0"/>
          <w:sz w:val="24"/>
          <w:szCs w:val="24"/>
          <w14:ligatures w14:val="none"/>
        </w:rPr>
        <w:t>PCIDSS stands for Payment Card Industry Data Security Standard, which is a set of requirements for ensuring the security of cardholder data. The PCI Security Standards Council (PCI SSC) is responsible for developing and maintaining the PCI DSS, and they have recently released version 4.0 of the standard, which introduces some significant changes from the previous version 3.2.1.</w:t>
      </w:r>
    </w:p>
    <w:p w14:paraId="674C3568" w14:textId="77777777" w:rsidR="0052152A" w:rsidRPr="00887AE0" w:rsidRDefault="0052152A" w:rsidP="0052152A">
      <w:pPr>
        <w:shd w:val="clear" w:color="auto" w:fill="F9F9F9"/>
        <w:spacing w:before="180" w:after="0" w:line="240" w:lineRule="auto"/>
        <w:rPr>
          <w:rFonts w:ascii="Times New Roman" w:eastAsia="Times New Roman" w:hAnsi="Times New Roman" w:cs="Times New Roman"/>
          <w:color w:val="111111"/>
          <w:kern w:val="0"/>
          <w:sz w:val="24"/>
          <w:szCs w:val="24"/>
          <w14:ligatures w14:val="none"/>
        </w:rPr>
      </w:pPr>
      <w:r w:rsidRPr="00887AE0">
        <w:rPr>
          <w:rFonts w:ascii="Times New Roman" w:eastAsia="Times New Roman" w:hAnsi="Times New Roman" w:cs="Times New Roman"/>
          <w:color w:val="111111"/>
          <w:kern w:val="0"/>
          <w:sz w:val="24"/>
          <w:szCs w:val="24"/>
          <w14:ligatures w14:val="none"/>
        </w:rPr>
        <w:t>According to the web search results, some of the main changes in PCI DSS 4.0 are:</w:t>
      </w:r>
    </w:p>
    <w:p w14:paraId="71A9D721" w14:textId="77777777" w:rsidR="0052152A" w:rsidRPr="00887AE0" w:rsidRDefault="0052152A" w:rsidP="0052152A">
      <w:pPr>
        <w:numPr>
          <w:ilvl w:val="0"/>
          <w:numId w:val="1"/>
        </w:numPr>
        <w:shd w:val="clear" w:color="auto" w:fill="F9F9F9"/>
        <w:spacing w:beforeAutospacing="1" w:after="0" w:afterAutospacing="1" w:line="240" w:lineRule="auto"/>
        <w:rPr>
          <w:rFonts w:ascii="Times New Roman" w:eastAsia="Times New Roman" w:hAnsi="Times New Roman" w:cs="Times New Roman"/>
          <w:color w:val="111111"/>
          <w:kern w:val="0"/>
          <w:sz w:val="24"/>
          <w:szCs w:val="24"/>
          <w14:ligatures w14:val="none"/>
        </w:rPr>
      </w:pPr>
      <w:r w:rsidRPr="00887AE0">
        <w:rPr>
          <w:rFonts w:ascii="Times New Roman" w:eastAsia="Times New Roman" w:hAnsi="Times New Roman" w:cs="Times New Roman"/>
          <w:color w:val="111111"/>
          <w:kern w:val="0"/>
          <w:sz w:val="24"/>
          <w:szCs w:val="24"/>
          <w14:ligatures w14:val="none"/>
        </w:rPr>
        <w:t>The standard introduces two methods for achieving compliance: the defined method and the customized method. The defined method is similar to the current approach, where organizations must follow specific testing procedures and guidance for each requirement. The customized method allows organizations to use alternative ways to meet the intent and objectives of each requirement, as long as they can demonstrate how their approach provides the same or better level of security. </w:t>
      </w:r>
      <w:hyperlink r:id="rId5" w:tgtFrame="_blank" w:history="1">
        <w:r w:rsidRPr="00887AE0">
          <w:rPr>
            <w:rFonts w:ascii="Times New Roman" w:eastAsia="Times New Roman" w:hAnsi="Times New Roman" w:cs="Times New Roman"/>
            <w:color w:val="0000FF"/>
            <w:kern w:val="0"/>
            <w:sz w:val="24"/>
            <w:szCs w:val="24"/>
            <w:u w:val="single"/>
            <w14:ligatures w14:val="none"/>
          </w:rPr>
          <w:t>The customized method is intended to provide more flexibility and innovation for organizations that use new or emerging technologies that may not be compatible with the defined method</w:t>
        </w:r>
      </w:hyperlink>
      <w:hyperlink r:id="rId6" w:tgtFrame="_blank" w:history="1">
        <w:r w:rsidRPr="00887AE0">
          <w:rPr>
            <w:rFonts w:ascii="Times New Roman" w:eastAsia="Times New Roman" w:hAnsi="Times New Roman" w:cs="Times New Roman"/>
            <w:color w:val="0000FF"/>
            <w:kern w:val="0"/>
            <w:sz w:val="24"/>
            <w:szCs w:val="24"/>
            <w:u w:val="single"/>
            <w:vertAlign w:val="superscript"/>
            <w14:ligatures w14:val="none"/>
          </w:rPr>
          <w:t>1</w:t>
        </w:r>
      </w:hyperlink>
      <w:r w:rsidRPr="00887AE0">
        <w:rPr>
          <w:rFonts w:ascii="Times New Roman" w:eastAsia="Times New Roman" w:hAnsi="Times New Roman" w:cs="Times New Roman"/>
          <w:color w:val="111111"/>
          <w:kern w:val="0"/>
          <w:sz w:val="24"/>
          <w:szCs w:val="24"/>
          <w14:ligatures w14:val="none"/>
        </w:rPr>
        <w:t>.</w:t>
      </w:r>
    </w:p>
    <w:p w14:paraId="1BAF12F6" w14:textId="77777777" w:rsidR="0052152A" w:rsidRPr="00887AE0" w:rsidRDefault="0052152A" w:rsidP="0052152A">
      <w:pPr>
        <w:numPr>
          <w:ilvl w:val="0"/>
          <w:numId w:val="1"/>
        </w:numPr>
        <w:shd w:val="clear" w:color="auto" w:fill="F9F9F9"/>
        <w:spacing w:beforeAutospacing="1" w:after="0" w:afterAutospacing="1" w:line="240" w:lineRule="auto"/>
        <w:rPr>
          <w:rFonts w:ascii="Times New Roman" w:eastAsia="Times New Roman" w:hAnsi="Times New Roman" w:cs="Times New Roman"/>
          <w:color w:val="111111"/>
          <w:kern w:val="0"/>
          <w:sz w:val="24"/>
          <w:szCs w:val="24"/>
          <w14:ligatures w14:val="none"/>
        </w:rPr>
      </w:pPr>
      <w:r w:rsidRPr="00887AE0">
        <w:rPr>
          <w:rFonts w:ascii="Times New Roman" w:eastAsia="Times New Roman" w:hAnsi="Times New Roman" w:cs="Times New Roman"/>
          <w:color w:val="111111"/>
          <w:kern w:val="0"/>
          <w:sz w:val="24"/>
          <w:szCs w:val="24"/>
          <w14:ligatures w14:val="none"/>
        </w:rPr>
        <w:t>The standard emphasizes the importance of security as a continuous process, rather than a point-in-time assessment. Organizations are expected to monitor and measure their security performance on an ongoing basis, and to adjust their security controls as needed to address changes in their environment, threats, and risks. </w:t>
      </w:r>
      <w:hyperlink r:id="rId7" w:tgtFrame="_blank" w:history="1">
        <w:r w:rsidRPr="00887AE0">
          <w:rPr>
            <w:rFonts w:ascii="Times New Roman" w:eastAsia="Times New Roman" w:hAnsi="Times New Roman" w:cs="Times New Roman"/>
            <w:color w:val="0000FF"/>
            <w:kern w:val="0"/>
            <w:sz w:val="24"/>
            <w:szCs w:val="24"/>
            <w:u w:val="single"/>
            <w14:ligatures w14:val="none"/>
          </w:rPr>
          <w:t>The standard also introduces new requirements for establishing roles and responsibilities, documenting policies and procedures, and reporting on security activities</w:t>
        </w:r>
      </w:hyperlink>
      <w:hyperlink r:id="rId8" w:tgtFrame="_blank" w:history="1">
        <w:r w:rsidRPr="00887AE0">
          <w:rPr>
            <w:rFonts w:ascii="Times New Roman" w:eastAsia="Times New Roman" w:hAnsi="Times New Roman" w:cs="Times New Roman"/>
            <w:color w:val="0000FF"/>
            <w:kern w:val="0"/>
            <w:sz w:val="24"/>
            <w:szCs w:val="24"/>
            <w:u w:val="single"/>
            <w:vertAlign w:val="superscript"/>
            <w14:ligatures w14:val="none"/>
          </w:rPr>
          <w:t>2</w:t>
        </w:r>
      </w:hyperlink>
      <w:hyperlink r:id="rId9" w:tgtFrame="_blank" w:history="1">
        <w:r w:rsidRPr="00887AE0">
          <w:rPr>
            <w:rFonts w:ascii="Times New Roman" w:eastAsia="Times New Roman" w:hAnsi="Times New Roman" w:cs="Times New Roman"/>
            <w:color w:val="0000FF"/>
            <w:kern w:val="0"/>
            <w:sz w:val="24"/>
            <w:szCs w:val="24"/>
            <w:u w:val="single"/>
            <w:vertAlign w:val="superscript"/>
            <w14:ligatures w14:val="none"/>
          </w:rPr>
          <w:t>3</w:t>
        </w:r>
      </w:hyperlink>
      <w:r w:rsidRPr="00887AE0">
        <w:rPr>
          <w:rFonts w:ascii="Times New Roman" w:eastAsia="Times New Roman" w:hAnsi="Times New Roman" w:cs="Times New Roman"/>
          <w:color w:val="111111"/>
          <w:kern w:val="0"/>
          <w:sz w:val="24"/>
          <w:szCs w:val="24"/>
          <w14:ligatures w14:val="none"/>
        </w:rPr>
        <w:t>.</w:t>
      </w:r>
    </w:p>
    <w:p w14:paraId="26773884" w14:textId="77777777" w:rsidR="0052152A" w:rsidRPr="00887AE0" w:rsidRDefault="0052152A" w:rsidP="0052152A">
      <w:pPr>
        <w:numPr>
          <w:ilvl w:val="0"/>
          <w:numId w:val="1"/>
        </w:numPr>
        <w:shd w:val="clear" w:color="auto" w:fill="F9F9F9"/>
        <w:spacing w:beforeAutospacing="1" w:after="0" w:afterAutospacing="1" w:line="240" w:lineRule="auto"/>
        <w:rPr>
          <w:rFonts w:ascii="Times New Roman" w:eastAsia="Times New Roman" w:hAnsi="Times New Roman" w:cs="Times New Roman"/>
          <w:color w:val="111111"/>
          <w:kern w:val="0"/>
          <w:sz w:val="24"/>
          <w:szCs w:val="24"/>
          <w14:ligatures w14:val="none"/>
        </w:rPr>
      </w:pPr>
      <w:r w:rsidRPr="00887AE0">
        <w:rPr>
          <w:rFonts w:ascii="Times New Roman" w:eastAsia="Times New Roman" w:hAnsi="Times New Roman" w:cs="Times New Roman"/>
          <w:color w:val="111111"/>
          <w:kern w:val="0"/>
          <w:sz w:val="24"/>
          <w:szCs w:val="24"/>
          <w14:ligatures w14:val="none"/>
        </w:rPr>
        <w:t>The standard updates and expands the scope of the requirements to cover new technologies and threats, such as mobile devices, cloud services, internet of things (IoT), phishing, social engineering, and e-commerce payment applications. </w:t>
      </w:r>
      <w:hyperlink r:id="rId10" w:tgtFrame="_blank" w:history="1">
        <w:r w:rsidRPr="00887AE0">
          <w:rPr>
            <w:rFonts w:ascii="Times New Roman" w:eastAsia="Times New Roman" w:hAnsi="Times New Roman" w:cs="Times New Roman"/>
            <w:color w:val="0000FF"/>
            <w:kern w:val="0"/>
            <w:sz w:val="24"/>
            <w:szCs w:val="24"/>
            <w:u w:val="single"/>
            <w14:ligatures w14:val="none"/>
          </w:rPr>
          <w:t>The standard also revises the authentication requirements, including requiring multi-factor authentication (MFA) for all remote access to the cardholder data environment, and increasing the minimum password length to 12 characters</w:t>
        </w:r>
      </w:hyperlink>
      <w:hyperlink r:id="rId11" w:tgtFrame="_blank" w:history="1">
        <w:r w:rsidRPr="00887AE0">
          <w:rPr>
            <w:rFonts w:ascii="Times New Roman" w:eastAsia="Times New Roman" w:hAnsi="Times New Roman" w:cs="Times New Roman"/>
            <w:color w:val="0000FF"/>
            <w:kern w:val="0"/>
            <w:sz w:val="24"/>
            <w:szCs w:val="24"/>
            <w:u w:val="single"/>
            <w:vertAlign w:val="superscript"/>
            <w14:ligatures w14:val="none"/>
          </w:rPr>
          <w:t>1</w:t>
        </w:r>
      </w:hyperlink>
      <w:hyperlink r:id="rId12" w:tgtFrame="_blank" w:history="1">
        <w:r w:rsidRPr="00887AE0">
          <w:rPr>
            <w:rFonts w:ascii="Times New Roman" w:eastAsia="Times New Roman" w:hAnsi="Times New Roman" w:cs="Times New Roman"/>
            <w:color w:val="0000FF"/>
            <w:kern w:val="0"/>
            <w:sz w:val="24"/>
            <w:szCs w:val="24"/>
            <w:u w:val="single"/>
            <w:vertAlign w:val="superscript"/>
            <w14:ligatures w14:val="none"/>
          </w:rPr>
          <w:t>2</w:t>
        </w:r>
      </w:hyperlink>
      <w:hyperlink r:id="rId13" w:tgtFrame="_blank" w:history="1">
        <w:r w:rsidRPr="00887AE0">
          <w:rPr>
            <w:rFonts w:ascii="Times New Roman" w:eastAsia="Times New Roman" w:hAnsi="Times New Roman" w:cs="Times New Roman"/>
            <w:color w:val="0000FF"/>
            <w:kern w:val="0"/>
            <w:sz w:val="24"/>
            <w:szCs w:val="24"/>
            <w:u w:val="single"/>
            <w:vertAlign w:val="superscript"/>
            <w14:ligatures w14:val="none"/>
          </w:rPr>
          <w:t>4</w:t>
        </w:r>
      </w:hyperlink>
      <w:r w:rsidRPr="00887AE0">
        <w:rPr>
          <w:rFonts w:ascii="Times New Roman" w:eastAsia="Times New Roman" w:hAnsi="Times New Roman" w:cs="Times New Roman"/>
          <w:color w:val="111111"/>
          <w:kern w:val="0"/>
          <w:sz w:val="24"/>
          <w:szCs w:val="24"/>
          <w14:ligatures w14:val="none"/>
        </w:rPr>
        <w:t>.</w:t>
      </w:r>
    </w:p>
    <w:p w14:paraId="46BFEEED" w14:textId="77777777" w:rsidR="0052152A" w:rsidRPr="00314C95" w:rsidRDefault="0052152A" w:rsidP="0052152A">
      <w:pPr>
        <w:shd w:val="clear" w:color="auto" w:fill="F9F9F9"/>
        <w:spacing w:after="0" w:line="240" w:lineRule="auto"/>
        <w:rPr>
          <w:rFonts w:ascii="Times New Roman" w:eastAsia="Times New Roman" w:hAnsi="Times New Roman" w:cs="Times New Roman"/>
          <w:b/>
          <w:bCs/>
          <w:kern w:val="0"/>
          <w:sz w:val="24"/>
          <w:szCs w:val="24"/>
          <w14:ligatures w14:val="none"/>
        </w:rPr>
      </w:pPr>
      <w:r w:rsidRPr="00314C95">
        <w:rPr>
          <w:rFonts w:ascii="Times New Roman" w:eastAsia="Times New Roman" w:hAnsi="Times New Roman" w:cs="Times New Roman"/>
          <w:kern w:val="0"/>
          <w:sz w:val="24"/>
          <w:szCs w:val="24"/>
          <w14:ligatures w14:val="none"/>
        </w:rPr>
        <w:t>The PCI DSS 4.0 will become effective on March 31, 2024, and will replace the current version 3.2.1, which will be retired on the same date. However, organizations will have the option to use either version for their assessments until then. </w:t>
      </w:r>
      <w:hyperlink r:id="rId14" w:tgtFrame="_blank" w:history="1">
        <w:r w:rsidRPr="00314C95">
          <w:rPr>
            <w:rFonts w:ascii="Times New Roman" w:eastAsia="Times New Roman" w:hAnsi="Times New Roman" w:cs="Times New Roman"/>
            <w:b/>
            <w:bCs/>
            <w:kern w:val="0"/>
            <w:sz w:val="24"/>
            <w:szCs w:val="24"/>
            <w:u w:val="single"/>
            <w14:ligatures w14:val="none"/>
          </w:rPr>
          <w:t>Additionally, some of the new requirements in PCI DSS 4.0 will be considered as best practices until March 31, 2025, and will become mandatory on April 1, 2025</w:t>
        </w:r>
      </w:hyperlink>
      <w:hyperlink r:id="rId15" w:tgtFrame="_blank" w:history="1">
        <w:r w:rsidRPr="00314C95">
          <w:rPr>
            <w:rFonts w:ascii="Times New Roman" w:eastAsia="Times New Roman" w:hAnsi="Times New Roman" w:cs="Times New Roman"/>
            <w:b/>
            <w:bCs/>
            <w:kern w:val="0"/>
            <w:sz w:val="24"/>
            <w:szCs w:val="24"/>
            <w:u w:val="single"/>
            <w:vertAlign w:val="superscript"/>
            <w14:ligatures w14:val="none"/>
          </w:rPr>
          <w:t>2</w:t>
        </w:r>
      </w:hyperlink>
      <w:hyperlink r:id="rId16" w:tgtFrame="_blank" w:history="1">
        <w:r w:rsidRPr="00314C95">
          <w:rPr>
            <w:rFonts w:ascii="Times New Roman" w:eastAsia="Times New Roman" w:hAnsi="Times New Roman" w:cs="Times New Roman"/>
            <w:b/>
            <w:bCs/>
            <w:kern w:val="0"/>
            <w:sz w:val="24"/>
            <w:szCs w:val="24"/>
            <w:u w:val="single"/>
            <w:vertAlign w:val="superscript"/>
            <w14:ligatures w14:val="none"/>
          </w:rPr>
          <w:t>3</w:t>
        </w:r>
      </w:hyperlink>
      <w:hyperlink r:id="rId17" w:tgtFrame="_blank" w:history="1">
        <w:r w:rsidRPr="00314C95">
          <w:rPr>
            <w:rFonts w:ascii="Times New Roman" w:eastAsia="Times New Roman" w:hAnsi="Times New Roman" w:cs="Times New Roman"/>
            <w:b/>
            <w:bCs/>
            <w:kern w:val="0"/>
            <w:sz w:val="24"/>
            <w:szCs w:val="24"/>
            <w:u w:val="single"/>
            <w:vertAlign w:val="superscript"/>
            <w14:ligatures w14:val="none"/>
          </w:rPr>
          <w:t>4</w:t>
        </w:r>
      </w:hyperlink>
      <w:r w:rsidRPr="00314C95">
        <w:rPr>
          <w:rFonts w:ascii="Times New Roman" w:eastAsia="Times New Roman" w:hAnsi="Times New Roman" w:cs="Times New Roman"/>
          <w:b/>
          <w:bCs/>
          <w:kern w:val="0"/>
          <w:sz w:val="24"/>
          <w:szCs w:val="24"/>
          <w14:ligatures w14:val="none"/>
        </w:rPr>
        <w:t>.</w:t>
      </w:r>
    </w:p>
    <w:p w14:paraId="4C3DE52B" w14:textId="77777777" w:rsidR="0052152A" w:rsidRPr="00887AE0" w:rsidRDefault="0052152A" w:rsidP="0052152A">
      <w:pPr>
        <w:spacing w:after="0"/>
        <w:rPr>
          <w:rFonts w:ascii="Times New Roman" w:hAnsi="Times New Roman" w:cs="Times New Roman"/>
          <w:b/>
          <w:bCs/>
          <w:sz w:val="24"/>
          <w:szCs w:val="24"/>
        </w:rPr>
      </w:pPr>
    </w:p>
    <w:p w14:paraId="7D8D921C" w14:textId="77777777" w:rsidR="0052152A" w:rsidRPr="00887AE0" w:rsidRDefault="0052152A" w:rsidP="0052152A">
      <w:pPr>
        <w:spacing w:after="0"/>
        <w:rPr>
          <w:rFonts w:ascii="Times New Roman" w:hAnsi="Times New Roman" w:cs="Times New Roman"/>
          <w:b/>
          <w:bCs/>
          <w:sz w:val="24"/>
          <w:szCs w:val="24"/>
        </w:rPr>
      </w:pPr>
    </w:p>
    <w:p w14:paraId="3B2B472A" w14:textId="77777777" w:rsidR="0052152A" w:rsidRDefault="0052152A" w:rsidP="0052152A">
      <w:pPr>
        <w:spacing w:after="0"/>
        <w:rPr>
          <w:rFonts w:ascii="Times New Roman" w:hAnsi="Times New Roman" w:cs="Times New Roman"/>
          <w:b/>
          <w:bCs/>
          <w:sz w:val="32"/>
          <w:szCs w:val="32"/>
        </w:rPr>
      </w:pPr>
    </w:p>
    <w:p w14:paraId="0655EE01" w14:textId="77777777" w:rsidR="0052152A" w:rsidRDefault="0052152A" w:rsidP="0052152A">
      <w:pPr>
        <w:spacing w:after="0"/>
        <w:rPr>
          <w:rFonts w:ascii="Times New Roman" w:hAnsi="Times New Roman" w:cs="Times New Roman"/>
          <w:b/>
          <w:bCs/>
          <w:sz w:val="32"/>
          <w:szCs w:val="32"/>
        </w:rPr>
      </w:pPr>
    </w:p>
    <w:p w14:paraId="29984460" w14:textId="77777777" w:rsidR="0052152A" w:rsidRPr="00887AE0" w:rsidRDefault="0052152A" w:rsidP="0052152A">
      <w:pPr>
        <w:numPr>
          <w:ilvl w:val="0"/>
          <w:numId w:val="2"/>
        </w:numPr>
        <w:shd w:val="clear" w:color="auto" w:fill="F9F9F9"/>
        <w:spacing w:beforeAutospacing="1" w:after="0" w:afterAutospacing="1" w:line="240" w:lineRule="auto"/>
        <w:rPr>
          <w:rFonts w:ascii="Roboto" w:eastAsia="Times New Roman" w:hAnsi="Roboto" w:cs="Times New Roman"/>
          <w:color w:val="111111"/>
          <w:kern w:val="0"/>
          <w:sz w:val="24"/>
          <w:szCs w:val="24"/>
          <w14:ligatures w14:val="none"/>
        </w:rPr>
      </w:pPr>
      <w:bookmarkStart w:id="0" w:name="_Hlk156912571"/>
      <w:r w:rsidRPr="00887AE0">
        <w:rPr>
          <w:rFonts w:ascii="Roboto" w:eastAsia="Times New Roman" w:hAnsi="Roboto" w:cs="Times New Roman"/>
          <w:color w:val="111111"/>
          <w:kern w:val="0"/>
          <w:sz w:val="24"/>
          <w:szCs w:val="24"/>
          <w14:ligatures w14:val="none"/>
        </w:rPr>
        <w:lastRenderedPageBreak/>
        <w:t>The standard introduces two methods for achieving compliance: the defined method and the customized method. The defined method is similar to the current approach, where organizations must follow specific testing procedures and guidance for each requirement. The customized method allows organizations to use alternative ways to meet the intent and objectives of each requirement, as long as they can demonstrate how their approach provides the same or better level of security. </w:t>
      </w:r>
      <w:hyperlink r:id="rId18" w:tgtFrame="_blank" w:history="1">
        <w:r w:rsidRPr="00887AE0">
          <w:rPr>
            <w:rFonts w:ascii="Roboto" w:eastAsia="Times New Roman" w:hAnsi="Roboto" w:cs="Times New Roman"/>
            <w:color w:val="0000FF"/>
            <w:kern w:val="0"/>
            <w:sz w:val="24"/>
            <w:szCs w:val="24"/>
            <w:u w:val="single"/>
            <w14:ligatures w14:val="none"/>
          </w:rPr>
          <w:t>The customized method is intended to provide more flexibility and innovation for organizations that use new or emerging technologies that may not be compatible with the defined method</w:t>
        </w:r>
      </w:hyperlink>
      <w:hyperlink r:id="rId19" w:tgtFrame="_blank" w:history="1">
        <w:r w:rsidRPr="00887AE0">
          <w:rPr>
            <w:rFonts w:ascii="Roboto" w:eastAsia="Times New Roman" w:hAnsi="Roboto" w:cs="Times New Roman"/>
            <w:color w:val="0000FF"/>
            <w:kern w:val="0"/>
            <w:sz w:val="24"/>
            <w:szCs w:val="24"/>
            <w:u w:val="single"/>
            <w:vertAlign w:val="superscript"/>
            <w14:ligatures w14:val="none"/>
          </w:rPr>
          <w:t>1</w:t>
        </w:r>
      </w:hyperlink>
      <w:r w:rsidRPr="00887AE0">
        <w:rPr>
          <w:rFonts w:ascii="Roboto" w:eastAsia="Times New Roman" w:hAnsi="Roboto" w:cs="Times New Roman"/>
          <w:color w:val="111111"/>
          <w:kern w:val="0"/>
          <w:sz w:val="24"/>
          <w:szCs w:val="24"/>
          <w14:ligatures w14:val="none"/>
        </w:rPr>
        <w:t>.</w:t>
      </w:r>
    </w:p>
    <w:p w14:paraId="5183F090" w14:textId="77777777" w:rsidR="0052152A" w:rsidRPr="00887AE0" w:rsidRDefault="0052152A" w:rsidP="0052152A">
      <w:pPr>
        <w:numPr>
          <w:ilvl w:val="0"/>
          <w:numId w:val="2"/>
        </w:numPr>
        <w:shd w:val="clear" w:color="auto" w:fill="F9F9F9"/>
        <w:spacing w:beforeAutospacing="1" w:after="0" w:afterAutospacing="1" w:line="240" w:lineRule="auto"/>
        <w:rPr>
          <w:rFonts w:ascii="Roboto" w:eastAsia="Times New Roman" w:hAnsi="Roboto" w:cs="Times New Roman"/>
          <w:color w:val="111111"/>
          <w:kern w:val="0"/>
          <w:sz w:val="24"/>
          <w:szCs w:val="24"/>
          <w14:ligatures w14:val="none"/>
        </w:rPr>
      </w:pPr>
      <w:r w:rsidRPr="00887AE0">
        <w:rPr>
          <w:rFonts w:ascii="Roboto" w:eastAsia="Times New Roman" w:hAnsi="Roboto" w:cs="Times New Roman"/>
          <w:color w:val="111111"/>
          <w:kern w:val="0"/>
          <w:sz w:val="24"/>
          <w:szCs w:val="24"/>
          <w14:ligatures w14:val="none"/>
        </w:rPr>
        <w:t>The standard emphasizes the importance of security as a continuous process, rather than a point-in-time assessment. Organizations are expected to monitor and measure their security performance on an ongoing basis, and to adjust their security controls as needed to address changes in their environment, threats, and risks. </w:t>
      </w:r>
      <w:hyperlink r:id="rId20" w:tgtFrame="_blank" w:history="1">
        <w:r w:rsidRPr="00887AE0">
          <w:rPr>
            <w:rFonts w:ascii="Roboto" w:eastAsia="Times New Roman" w:hAnsi="Roboto" w:cs="Times New Roman"/>
            <w:color w:val="0000FF"/>
            <w:kern w:val="0"/>
            <w:sz w:val="24"/>
            <w:szCs w:val="24"/>
            <w:u w:val="single"/>
            <w14:ligatures w14:val="none"/>
          </w:rPr>
          <w:t>The standard also introduces new requirements for establishing roles and responsibilities, documenting policies and procedures, and reporting on security activities</w:t>
        </w:r>
      </w:hyperlink>
      <w:hyperlink r:id="rId21" w:tgtFrame="_blank" w:history="1">
        <w:r w:rsidRPr="00887AE0">
          <w:rPr>
            <w:rFonts w:ascii="Roboto" w:eastAsia="Times New Roman" w:hAnsi="Roboto" w:cs="Times New Roman"/>
            <w:color w:val="0000FF"/>
            <w:kern w:val="0"/>
            <w:sz w:val="24"/>
            <w:szCs w:val="24"/>
            <w:u w:val="single"/>
            <w:vertAlign w:val="superscript"/>
            <w14:ligatures w14:val="none"/>
          </w:rPr>
          <w:t>2</w:t>
        </w:r>
      </w:hyperlink>
      <w:hyperlink r:id="rId22" w:tgtFrame="_blank" w:history="1">
        <w:r w:rsidRPr="00887AE0">
          <w:rPr>
            <w:rFonts w:ascii="Roboto" w:eastAsia="Times New Roman" w:hAnsi="Roboto" w:cs="Times New Roman"/>
            <w:color w:val="0000FF"/>
            <w:kern w:val="0"/>
            <w:sz w:val="24"/>
            <w:szCs w:val="24"/>
            <w:u w:val="single"/>
            <w:vertAlign w:val="superscript"/>
            <w14:ligatures w14:val="none"/>
          </w:rPr>
          <w:t>3</w:t>
        </w:r>
      </w:hyperlink>
      <w:r w:rsidRPr="00887AE0">
        <w:rPr>
          <w:rFonts w:ascii="Roboto" w:eastAsia="Times New Roman" w:hAnsi="Roboto" w:cs="Times New Roman"/>
          <w:color w:val="111111"/>
          <w:kern w:val="0"/>
          <w:sz w:val="24"/>
          <w:szCs w:val="24"/>
          <w14:ligatures w14:val="none"/>
        </w:rPr>
        <w:t>.</w:t>
      </w:r>
    </w:p>
    <w:p w14:paraId="4DB0AE69" w14:textId="77777777" w:rsidR="0052152A" w:rsidRPr="00887AE0" w:rsidRDefault="0052152A" w:rsidP="0052152A">
      <w:pPr>
        <w:numPr>
          <w:ilvl w:val="0"/>
          <w:numId w:val="2"/>
        </w:numPr>
        <w:shd w:val="clear" w:color="auto" w:fill="F9F9F9"/>
        <w:spacing w:beforeAutospacing="1" w:after="0" w:afterAutospacing="1" w:line="240" w:lineRule="auto"/>
        <w:rPr>
          <w:rFonts w:ascii="Roboto" w:eastAsia="Times New Roman" w:hAnsi="Roboto" w:cs="Times New Roman"/>
          <w:color w:val="111111"/>
          <w:kern w:val="0"/>
          <w:sz w:val="24"/>
          <w:szCs w:val="24"/>
          <w14:ligatures w14:val="none"/>
        </w:rPr>
      </w:pPr>
      <w:r w:rsidRPr="00887AE0">
        <w:rPr>
          <w:rFonts w:ascii="Roboto" w:eastAsia="Times New Roman" w:hAnsi="Roboto" w:cs="Times New Roman"/>
          <w:color w:val="111111"/>
          <w:kern w:val="0"/>
          <w:sz w:val="24"/>
          <w:szCs w:val="24"/>
          <w14:ligatures w14:val="none"/>
        </w:rPr>
        <w:t xml:space="preserve">The standard updates and expands the scope of the requirements to cover new technologies and threats, such as mobile devices, cloud services, internet of things (IoT), phishing, social engineering, and e-commerce payment </w:t>
      </w:r>
      <w:bookmarkEnd w:id="0"/>
      <w:r w:rsidRPr="00887AE0">
        <w:rPr>
          <w:rFonts w:ascii="Roboto" w:eastAsia="Times New Roman" w:hAnsi="Roboto" w:cs="Times New Roman"/>
          <w:color w:val="111111"/>
          <w:kern w:val="0"/>
          <w:sz w:val="24"/>
          <w:szCs w:val="24"/>
          <w14:ligatures w14:val="none"/>
        </w:rPr>
        <w:t>applications. </w:t>
      </w:r>
      <w:hyperlink r:id="rId23" w:tgtFrame="_blank" w:history="1">
        <w:r w:rsidRPr="00887AE0">
          <w:rPr>
            <w:rFonts w:ascii="Roboto" w:eastAsia="Times New Roman" w:hAnsi="Roboto" w:cs="Times New Roman"/>
            <w:color w:val="0000FF"/>
            <w:kern w:val="0"/>
            <w:sz w:val="24"/>
            <w:szCs w:val="24"/>
            <w:u w:val="single"/>
            <w14:ligatures w14:val="none"/>
          </w:rPr>
          <w:t>The standard also revises the authentication requirements, including requiring multi-factor authentication (MFA) for all remote access to the cardholder data environment, and increasing the minimum password length to 12 characters</w:t>
        </w:r>
      </w:hyperlink>
      <w:hyperlink r:id="rId24" w:tgtFrame="_blank" w:history="1">
        <w:r w:rsidRPr="00887AE0">
          <w:rPr>
            <w:rFonts w:ascii="Roboto" w:eastAsia="Times New Roman" w:hAnsi="Roboto" w:cs="Times New Roman"/>
            <w:color w:val="0000FF"/>
            <w:kern w:val="0"/>
            <w:sz w:val="24"/>
            <w:szCs w:val="24"/>
            <w:u w:val="single"/>
            <w:vertAlign w:val="superscript"/>
            <w14:ligatures w14:val="none"/>
          </w:rPr>
          <w:t>1</w:t>
        </w:r>
      </w:hyperlink>
      <w:hyperlink r:id="rId25" w:tgtFrame="_blank" w:history="1">
        <w:r w:rsidRPr="00887AE0">
          <w:rPr>
            <w:rFonts w:ascii="Roboto" w:eastAsia="Times New Roman" w:hAnsi="Roboto" w:cs="Times New Roman"/>
            <w:color w:val="0000FF"/>
            <w:kern w:val="0"/>
            <w:sz w:val="24"/>
            <w:szCs w:val="24"/>
            <w:u w:val="single"/>
            <w:vertAlign w:val="superscript"/>
            <w14:ligatures w14:val="none"/>
          </w:rPr>
          <w:t>2</w:t>
        </w:r>
      </w:hyperlink>
      <w:hyperlink r:id="rId26" w:tgtFrame="_blank" w:history="1">
        <w:r w:rsidRPr="00887AE0">
          <w:rPr>
            <w:rFonts w:ascii="Roboto" w:eastAsia="Times New Roman" w:hAnsi="Roboto" w:cs="Times New Roman"/>
            <w:color w:val="0000FF"/>
            <w:kern w:val="0"/>
            <w:sz w:val="24"/>
            <w:szCs w:val="24"/>
            <w:u w:val="single"/>
            <w:vertAlign w:val="superscript"/>
            <w14:ligatures w14:val="none"/>
          </w:rPr>
          <w:t>4</w:t>
        </w:r>
      </w:hyperlink>
      <w:r w:rsidRPr="00887AE0">
        <w:rPr>
          <w:rFonts w:ascii="Roboto" w:eastAsia="Times New Roman" w:hAnsi="Roboto" w:cs="Times New Roman"/>
          <w:color w:val="111111"/>
          <w:kern w:val="0"/>
          <w:sz w:val="24"/>
          <w:szCs w:val="24"/>
          <w14:ligatures w14:val="none"/>
        </w:rPr>
        <w:t>.</w:t>
      </w:r>
    </w:p>
    <w:p w14:paraId="0E1FD3C8" w14:textId="77777777" w:rsidR="0052152A" w:rsidRPr="00887AE0" w:rsidRDefault="0052152A" w:rsidP="0052152A">
      <w:pPr>
        <w:shd w:val="clear" w:color="auto" w:fill="F9F9F9"/>
        <w:spacing w:after="0" w:line="240" w:lineRule="auto"/>
        <w:rPr>
          <w:rFonts w:ascii="Roboto" w:eastAsia="Times New Roman" w:hAnsi="Roboto" w:cs="Times New Roman"/>
          <w:color w:val="111111"/>
          <w:kern w:val="0"/>
          <w:sz w:val="24"/>
          <w:szCs w:val="24"/>
          <w14:ligatures w14:val="none"/>
        </w:rPr>
      </w:pPr>
      <w:r w:rsidRPr="00887AE0">
        <w:rPr>
          <w:rFonts w:ascii="Roboto" w:eastAsia="Times New Roman" w:hAnsi="Roboto" w:cs="Times New Roman"/>
          <w:color w:val="111111"/>
          <w:kern w:val="0"/>
          <w:sz w:val="24"/>
          <w:szCs w:val="24"/>
          <w14:ligatures w14:val="none"/>
        </w:rPr>
        <w:t>The PCI DSS 4.0 will become effective on March 31, 2024, and will replace the current version 3.2.1, which will be retired on the same date. However, organizations will have the option to use either version for their assessments until then. </w:t>
      </w:r>
      <w:hyperlink r:id="rId27" w:tgtFrame="_blank" w:history="1">
        <w:r w:rsidRPr="00887AE0">
          <w:rPr>
            <w:rFonts w:ascii="Roboto" w:eastAsia="Times New Roman" w:hAnsi="Roboto" w:cs="Times New Roman"/>
            <w:color w:val="0000FF"/>
            <w:kern w:val="0"/>
            <w:sz w:val="24"/>
            <w:szCs w:val="24"/>
            <w:u w:val="single"/>
            <w14:ligatures w14:val="none"/>
          </w:rPr>
          <w:t>Additionally, some of the new requirements in PCI DSS 4.0 will be considered as best practices until March 31, 2025, and will become mandatory on April 1, 2025</w:t>
        </w:r>
      </w:hyperlink>
      <w:hyperlink r:id="rId28" w:tgtFrame="_blank" w:history="1">
        <w:r w:rsidRPr="00887AE0">
          <w:rPr>
            <w:rFonts w:ascii="Roboto" w:eastAsia="Times New Roman" w:hAnsi="Roboto" w:cs="Times New Roman"/>
            <w:color w:val="0000FF"/>
            <w:kern w:val="0"/>
            <w:sz w:val="24"/>
            <w:szCs w:val="24"/>
            <w:u w:val="single"/>
            <w:vertAlign w:val="superscript"/>
            <w14:ligatures w14:val="none"/>
          </w:rPr>
          <w:t>2</w:t>
        </w:r>
      </w:hyperlink>
      <w:hyperlink r:id="rId29" w:tgtFrame="_blank" w:history="1">
        <w:r w:rsidRPr="00887AE0">
          <w:rPr>
            <w:rFonts w:ascii="Roboto" w:eastAsia="Times New Roman" w:hAnsi="Roboto" w:cs="Times New Roman"/>
            <w:color w:val="0000FF"/>
            <w:kern w:val="0"/>
            <w:sz w:val="24"/>
            <w:szCs w:val="24"/>
            <w:u w:val="single"/>
            <w:vertAlign w:val="superscript"/>
            <w14:ligatures w14:val="none"/>
          </w:rPr>
          <w:t>3</w:t>
        </w:r>
      </w:hyperlink>
      <w:hyperlink r:id="rId30" w:tgtFrame="_blank" w:history="1">
        <w:r w:rsidRPr="00887AE0">
          <w:rPr>
            <w:rFonts w:ascii="Roboto" w:eastAsia="Times New Roman" w:hAnsi="Roboto" w:cs="Times New Roman"/>
            <w:color w:val="0000FF"/>
            <w:kern w:val="0"/>
            <w:sz w:val="24"/>
            <w:szCs w:val="24"/>
            <w:u w:val="single"/>
            <w:vertAlign w:val="superscript"/>
            <w14:ligatures w14:val="none"/>
          </w:rPr>
          <w:t>4</w:t>
        </w:r>
      </w:hyperlink>
      <w:r w:rsidRPr="00887AE0">
        <w:rPr>
          <w:rFonts w:ascii="Roboto" w:eastAsia="Times New Roman" w:hAnsi="Roboto" w:cs="Times New Roman"/>
          <w:color w:val="111111"/>
          <w:kern w:val="0"/>
          <w:sz w:val="24"/>
          <w:szCs w:val="24"/>
          <w14:ligatures w14:val="none"/>
        </w:rPr>
        <w:t>.</w:t>
      </w:r>
    </w:p>
    <w:p w14:paraId="760C46C4" w14:textId="77777777" w:rsidR="0052152A" w:rsidRPr="00887AE0" w:rsidRDefault="0052152A" w:rsidP="0052152A">
      <w:pPr>
        <w:shd w:val="clear" w:color="auto" w:fill="F9F9F9"/>
        <w:spacing w:before="180" w:after="0" w:line="240" w:lineRule="auto"/>
        <w:rPr>
          <w:rFonts w:ascii="Roboto" w:eastAsia="Times New Roman" w:hAnsi="Roboto" w:cs="Times New Roman"/>
          <w:color w:val="111111"/>
          <w:kern w:val="0"/>
          <w:sz w:val="24"/>
          <w:szCs w:val="24"/>
          <w14:ligatures w14:val="none"/>
        </w:rPr>
      </w:pPr>
      <w:r w:rsidRPr="00887AE0">
        <w:rPr>
          <w:rFonts w:ascii="Roboto" w:eastAsia="Times New Roman" w:hAnsi="Roboto" w:cs="Times New Roman"/>
          <w:color w:val="111111"/>
          <w:kern w:val="0"/>
          <w:sz w:val="24"/>
          <w:szCs w:val="24"/>
          <w14:ligatures w14:val="none"/>
        </w:rPr>
        <w:t xml:space="preserve">I hope this information helps you understand the changes in PCI DSS 4.0 and how they may affect your organization. If you have any questions, please feel free to ask me. </w:t>
      </w:r>
      <w:r w:rsidRPr="00887AE0">
        <w:rPr>
          <w:rFonts w:ascii="Segoe UI Emoji" w:eastAsia="Times New Roman" w:hAnsi="Segoe UI Emoji" w:cs="Segoe UI Emoji"/>
          <w:color w:val="111111"/>
          <w:kern w:val="0"/>
          <w:sz w:val="24"/>
          <w:szCs w:val="24"/>
          <w14:ligatures w14:val="none"/>
        </w:rPr>
        <w:t>😊</w:t>
      </w:r>
    </w:p>
    <w:p w14:paraId="5003C65D" w14:textId="77777777" w:rsidR="0052152A" w:rsidRDefault="0052152A" w:rsidP="0052152A">
      <w:pPr>
        <w:spacing w:after="0"/>
        <w:rPr>
          <w:rFonts w:ascii="Times New Roman" w:hAnsi="Times New Roman" w:cs="Times New Roman"/>
          <w:b/>
          <w:bCs/>
          <w:sz w:val="32"/>
          <w:szCs w:val="32"/>
        </w:rPr>
      </w:pPr>
    </w:p>
    <w:p w14:paraId="3BDDACAF" w14:textId="77777777" w:rsidR="0052152A" w:rsidRPr="00C11785" w:rsidRDefault="0052152A" w:rsidP="0052152A">
      <w:pPr>
        <w:spacing w:after="315" w:line="900" w:lineRule="atLeast"/>
        <w:outlineLvl w:val="0"/>
        <w:rPr>
          <w:rFonts w:ascii="Times New Roman" w:eastAsia="Times New Roman" w:hAnsi="Times New Roman" w:cs="Times New Roman"/>
          <w:b/>
          <w:bCs/>
          <w:color w:val="293743"/>
          <w:spacing w:val="-2"/>
          <w:kern w:val="36"/>
          <w:sz w:val="81"/>
          <w:szCs w:val="81"/>
          <w14:ligatures w14:val="none"/>
        </w:rPr>
      </w:pPr>
      <w:r w:rsidRPr="00C11785">
        <w:rPr>
          <w:rFonts w:ascii="Times New Roman" w:eastAsia="Times New Roman" w:hAnsi="Times New Roman" w:cs="Times New Roman"/>
          <w:b/>
          <w:bCs/>
          <w:color w:val="293743"/>
          <w:spacing w:val="-2"/>
          <w:kern w:val="36"/>
          <w:sz w:val="81"/>
          <w:szCs w:val="81"/>
          <w14:ligatures w14:val="none"/>
        </w:rPr>
        <w:t>PCI DSS VS. HIPAA</w:t>
      </w:r>
    </w:p>
    <w:p w14:paraId="423699AE" w14:textId="77777777" w:rsidR="0052152A" w:rsidRDefault="0052152A" w:rsidP="0052152A">
      <w:pPr>
        <w:spacing w:after="420"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While there is a bit of overlap between the PCI DSS and HIPAA, compliance with one is nowhere near compliance with both. While they are both pretty exhausted for their respective industries, entities within the healthcare industry are required to maintain compliance with both in order to do business. Below we will briefly outline the requirements of both and identify some key differences.</w:t>
      </w:r>
    </w:p>
    <w:p w14:paraId="43B27576" w14:textId="77777777" w:rsidR="0052152A" w:rsidRPr="00C11785" w:rsidRDefault="0052152A" w:rsidP="0052152A">
      <w:pPr>
        <w:spacing w:after="420" w:line="240" w:lineRule="auto"/>
        <w:rPr>
          <w:rFonts w:ascii="Times New Roman" w:eastAsia="Times New Roman" w:hAnsi="Times New Roman" w:cs="Times New Roman"/>
          <w:b/>
          <w:bCs/>
          <w:color w:val="111111"/>
          <w:spacing w:val="-2"/>
          <w:kern w:val="0"/>
          <w:sz w:val="48"/>
          <w:szCs w:val="48"/>
          <w14:ligatures w14:val="none"/>
        </w:rPr>
      </w:pPr>
      <w:r w:rsidRPr="00C11785">
        <w:rPr>
          <w:rFonts w:ascii="Times New Roman" w:eastAsia="Times New Roman" w:hAnsi="Times New Roman" w:cs="Times New Roman"/>
          <w:b/>
          <w:bCs/>
          <w:color w:val="111111"/>
          <w:spacing w:val="-2"/>
          <w:kern w:val="0"/>
          <w:sz w:val="48"/>
          <w:szCs w:val="48"/>
          <w14:ligatures w14:val="none"/>
        </w:rPr>
        <w:lastRenderedPageBreak/>
        <w:t>Payment Card Industry Data Security Standards (PCI DSS)</w:t>
      </w:r>
    </w:p>
    <w:p w14:paraId="3051141F" w14:textId="77777777" w:rsidR="0052152A" w:rsidRPr="00C11785" w:rsidRDefault="0052152A" w:rsidP="0052152A">
      <w:pPr>
        <w:spacing w:after="420"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 xml:space="preserve">PCI DSS is made up of </w:t>
      </w:r>
      <w:r w:rsidRPr="00CF527B">
        <w:rPr>
          <w:rFonts w:ascii="Times New Roman" w:eastAsia="Times New Roman" w:hAnsi="Times New Roman" w:cs="Times New Roman"/>
          <w:b/>
          <w:bCs/>
          <w:kern w:val="0"/>
          <w:sz w:val="24"/>
          <w:szCs w:val="24"/>
          <w14:ligatures w14:val="none"/>
        </w:rPr>
        <w:t>12 key requirements</w:t>
      </w:r>
      <w:r w:rsidRPr="00C11785">
        <w:rPr>
          <w:rFonts w:ascii="Times New Roman" w:eastAsia="Times New Roman" w:hAnsi="Times New Roman" w:cs="Times New Roman"/>
          <w:kern w:val="0"/>
          <w:sz w:val="24"/>
          <w:szCs w:val="24"/>
          <w14:ligatures w14:val="none"/>
        </w:rPr>
        <w:t xml:space="preserve"> to ensure secure data transfer when processing online payments online. These 12 requirements are as follows:</w:t>
      </w:r>
    </w:p>
    <w:p w14:paraId="317DC473"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Install and maintain a firewall configuration to protect cardholder data</w:t>
      </w:r>
    </w:p>
    <w:p w14:paraId="40E64BCA"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 Do not use vendor-supplied defaults for system passwords and other security parameters</w:t>
      </w:r>
    </w:p>
    <w:p w14:paraId="5DF66051"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 Protect stored cardholder data</w:t>
      </w:r>
    </w:p>
    <w:p w14:paraId="4FD9FEC2"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 Encrypt transmission of cardholder data across open, public       networks</w:t>
      </w:r>
    </w:p>
    <w:p w14:paraId="790F3190"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Use and regularly update anti-virus software or programs</w:t>
      </w:r>
    </w:p>
    <w:p w14:paraId="56ED6064"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Develop and maintain secure systems and applications</w:t>
      </w:r>
    </w:p>
    <w:p w14:paraId="6B97B890"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Restrict access to cardholder data by business need to know</w:t>
      </w:r>
    </w:p>
    <w:p w14:paraId="36905D28"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Assign a unique ID to each person with computer access</w:t>
      </w:r>
    </w:p>
    <w:p w14:paraId="5B529049"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Restrict physical access to cardholder data</w:t>
      </w:r>
    </w:p>
    <w:p w14:paraId="097628AC"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Track and monitor all access to network resources and   cardholder data</w:t>
      </w:r>
    </w:p>
    <w:p w14:paraId="15031465"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Regularly test security systems and processes</w:t>
      </w:r>
    </w:p>
    <w:p w14:paraId="32322C3A" w14:textId="77777777" w:rsidR="0052152A" w:rsidRPr="00C11785" w:rsidRDefault="0052152A" w:rsidP="0052152A">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Maintain a policy that addresses information security for all personnel</w:t>
      </w:r>
    </w:p>
    <w:p w14:paraId="49D77620" w14:textId="77777777" w:rsidR="0052152A" w:rsidRPr="00124C06" w:rsidRDefault="0052152A" w:rsidP="0052152A">
      <w:pPr>
        <w:spacing w:after="420" w:line="240" w:lineRule="auto"/>
        <w:rPr>
          <w:rFonts w:ascii="Times New Roman" w:eastAsia="Times New Roman" w:hAnsi="Times New Roman" w:cs="Times New Roman"/>
          <w:kern w:val="0"/>
          <w:sz w:val="40"/>
          <w:szCs w:val="40"/>
          <w14:ligatures w14:val="none"/>
        </w:rPr>
      </w:pPr>
      <w:r w:rsidRPr="00124C06">
        <w:rPr>
          <w:rFonts w:ascii="Times New Roman" w:eastAsia="Times New Roman" w:hAnsi="Times New Roman" w:cs="Times New Roman"/>
          <w:kern w:val="0"/>
          <w:sz w:val="40"/>
          <w:szCs w:val="40"/>
          <w14:ligatures w14:val="none"/>
        </w:rPr>
        <w:t>Related: </w:t>
      </w:r>
      <w:hyperlink r:id="rId31" w:history="1">
        <w:r w:rsidRPr="00124C06">
          <w:rPr>
            <w:rFonts w:ascii="Times New Roman" w:eastAsia="Times New Roman" w:hAnsi="Times New Roman" w:cs="Times New Roman"/>
            <w:b/>
            <w:bCs/>
            <w:color w:val="111111"/>
            <w:kern w:val="0"/>
            <w:sz w:val="40"/>
            <w:szCs w:val="40"/>
            <w14:ligatures w14:val="none"/>
          </w:rPr>
          <w:t>PCI DSS Compliance Levels</w:t>
        </w:r>
      </w:hyperlink>
    </w:p>
    <w:p w14:paraId="69DB8748" w14:textId="77777777" w:rsidR="0052152A" w:rsidRPr="00124C06" w:rsidRDefault="0052152A" w:rsidP="0052152A">
      <w:pPr>
        <w:spacing w:before="630" w:after="210" w:line="630" w:lineRule="atLeast"/>
        <w:outlineLvl w:val="2"/>
        <w:rPr>
          <w:rFonts w:ascii="Times New Roman" w:eastAsia="Times New Roman" w:hAnsi="Times New Roman" w:cs="Times New Roman"/>
          <w:b/>
          <w:bCs/>
          <w:color w:val="111111"/>
          <w:spacing w:val="-2"/>
          <w:kern w:val="0"/>
          <w:sz w:val="40"/>
          <w:szCs w:val="40"/>
          <w14:ligatures w14:val="none"/>
        </w:rPr>
      </w:pPr>
      <w:r w:rsidRPr="00124C06">
        <w:rPr>
          <w:rFonts w:ascii="Times New Roman" w:eastAsia="Times New Roman" w:hAnsi="Times New Roman" w:cs="Times New Roman"/>
          <w:b/>
          <w:bCs/>
          <w:color w:val="111111"/>
          <w:spacing w:val="-2"/>
          <w:kern w:val="0"/>
          <w:sz w:val="40"/>
          <w:szCs w:val="40"/>
          <w14:ligatures w14:val="none"/>
        </w:rPr>
        <w:t>Health Insurance Portability and Accountability Act (HIPAA)</w:t>
      </w:r>
    </w:p>
    <w:p w14:paraId="25E1D74F" w14:textId="77777777" w:rsidR="0052152A" w:rsidRPr="00C11785" w:rsidRDefault="0052152A" w:rsidP="0052152A">
      <w:pPr>
        <w:spacing w:after="420"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In contrast, the requirements of HIPAA have much less to do with payment information and more to do with a person’s PHI. The </w:t>
      </w:r>
      <w:hyperlink r:id="rId32" w:history="1">
        <w:r w:rsidRPr="00C11785">
          <w:rPr>
            <w:rFonts w:ascii="Times New Roman" w:eastAsia="Times New Roman" w:hAnsi="Times New Roman" w:cs="Times New Roman"/>
            <w:b/>
            <w:bCs/>
            <w:color w:val="111111"/>
            <w:kern w:val="0"/>
            <w:sz w:val="24"/>
            <w:szCs w:val="24"/>
            <w14:ligatures w14:val="none"/>
          </w:rPr>
          <w:t>requirements of HIPAA</w:t>
        </w:r>
      </w:hyperlink>
      <w:r w:rsidRPr="00C11785">
        <w:rPr>
          <w:rFonts w:ascii="Times New Roman" w:eastAsia="Times New Roman" w:hAnsi="Times New Roman" w:cs="Times New Roman"/>
          <w:kern w:val="0"/>
          <w:sz w:val="24"/>
          <w:szCs w:val="24"/>
          <w14:ligatures w14:val="none"/>
        </w:rPr>
        <w:t> are as follows:</w:t>
      </w:r>
    </w:p>
    <w:p w14:paraId="640DB8BB" w14:textId="77777777" w:rsidR="0052152A" w:rsidRPr="00C11785" w:rsidRDefault="0052152A" w:rsidP="0052152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Appoint a Privacy Officer</w:t>
      </w:r>
    </w:p>
    <w:p w14:paraId="7D74BF43" w14:textId="77777777" w:rsidR="0052152A" w:rsidRPr="00C11785" w:rsidRDefault="0052152A" w:rsidP="0052152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Privacy Policies</w:t>
      </w:r>
    </w:p>
    <w:p w14:paraId="02DA6BAC" w14:textId="77777777" w:rsidR="0052152A" w:rsidRPr="00C11785" w:rsidRDefault="0052152A" w:rsidP="0052152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Security Procedures</w:t>
      </w:r>
    </w:p>
    <w:p w14:paraId="1061628E" w14:textId="77777777" w:rsidR="0052152A" w:rsidRPr="00C11785" w:rsidRDefault="0052152A" w:rsidP="0052152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Business Associate Agreements in Place</w:t>
      </w:r>
    </w:p>
    <w:p w14:paraId="030E967E" w14:textId="77777777" w:rsidR="0052152A" w:rsidRPr="00C11785" w:rsidRDefault="0052152A" w:rsidP="0052152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Annual Training</w:t>
      </w:r>
    </w:p>
    <w:p w14:paraId="61B00D07" w14:textId="77777777" w:rsidR="0052152A" w:rsidRPr="00C11785" w:rsidRDefault="0052152A" w:rsidP="0052152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Regular Risk Assessment</w:t>
      </w:r>
    </w:p>
    <w:p w14:paraId="39F0BAA9" w14:textId="77777777" w:rsidR="0052152A" w:rsidRPr="00C11785" w:rsidRDefault="0052152A" w:rsidP="0052152A">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Established Breach Notification Protocol</w:t>
      </w:r>
    </w:p>
    <w:p w14:paraId="6335AC33" w14:textId="77777777" w:rsidR="0052152A" w:rsidRPr="00C11785" w:rsidRDefault="0052152A" w:rsidP="0052152A">
      <w:pPr>
        <w:spacing w:after="420"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b/>
          <w:bCs/>
          <w:kern w:val="0"/>
          <w:sz w:val="24"/>
          <w:szCs w:val="24"/>
          <w14:ligatures w14:val="none"/>
        </w:rPr>
        <w:t>PCI DSS</w:t>
      </w:r>
      <w:r w:rsidRPr="00C11785">
        <w:rPr>
          <w:rFonts w:ascii="Times New Roman" w:eastAsia="Times New Roman" w:hAnsi="Times New Roman" w:cs="Times New Roman"/>
          <w:kern w:val="0"/>
          <w:sz w:val="24"/>
          <w:szCs w:val="24"/>
          <w14:ligatures w14:val="none"/>
        </w:rPr>
        <w:t xml:space="preserve"> goes into much more detail and has quite a few more regulations than HIPAA in regard to the respective data at hand. Because payment information is considered PHI, the HIPAA requirements do apply to payment information however they do not encompass all the requirements of PCI DSS. As seen, there are quite a bit more regulations on payment card </w:t>
      </w:r>
      <w:r w:rsidRPr="00C11785">
        <w:rPr>
          <w:rFonts w:ascii="Times New Roman" w:eastAsia="Times New Roman" w:hAnsi="Times New Roman" w:cs="Times New Roman"/>
          <w:kern w:val="0"/>
          <w:sz w:val="24"/>
          <w:szCs w:val="24"/>
          <w14:ligatures w14:val="none"/>
        </w:rPr>
        <w:lastRenderedPageBreak/>
        <w:t>information than protected health information. One could make the argument that payment card information is vastly more important to secure ove rPHI however, according to experts, PHI is </w:t>
      </w:r>
      <w:hyperlink r:id="rId33" w:history="1">
        <w:r w:rsidRPr="00C11785">
          <w:rPr>
            <w:rFonts w:ascii="Times New Roman" w:eastAsia="Times New Roman" w:hAnsi="Times New Roman" w:cs="Times New Roman"/>
            <w:b/>
            <w:bCs/>
            <w:color w:val="111111"/>
            <w:kern w:val="0"/>
            <w:sz w:val="24"/>
            <w:szCs w:val="24"/>
            <w14:ligatures w14:val="none"/>
          </w:rPr>
          <w:t>between 10 and 20 more valuable</w:t>
        </w:r>
      </w:hyperlink>
      <w:r w:rsidRPr="00C11785">
        <w:rPr>
          <w:rFonts w:ascii="Times New Roman" w:eastAsia="Times New Roman" w:hAnsi="Times New Roman" w:cs="Times New Roman"/>
          <w:kern w:val="0"/>
          <w:sz w:val="24"/>
          <w:szCs w:val="24"/>
          <w14:ligatures w14:val="none"/>
        </w:rPr>
        <w:t> than a credit card number when sold online. Because of this, other countries and even states have noticed the need for increased security measures for PHI and have introduced more stringent policies such as </w:t>
      </w:r>
      <w:hyperlink r:id="rId34" w:history="1">
        <w:r w:rsidRPr="00C11785">
          <w:rPr>
            <w:rFonts w:ascii="Times New Roman" w:eastAsia="Times New Roman" w:hAnsi="Times New Roman" w:cs="Times New Roman"/>
            <w:b/>
            <w:bCs/>
            <w:color w:val="111111"/>
            <w:kern w:val="0"/>
            <w:sz w:val="24"/>
            <w:szCs w:val="24"/>
            <w14:ligatures w14:val="none"/>
          </w:rPr>
          <w:t>GDPR</w:t>
        </w:r>
      </w:hyperlink>
      <w:r w:rsidRPr="00C11785">
        <w:rPr>
          <w:rFonts w:ascii="Times New Roman" w:eastAsia="Times New Roman" w:hAnsi="Times New Roman" w:cs="Times New Roman"/>
          <w:kern w:val="0"/>
          <w:sz w:val="24"/>
          <w:szCs w:val="24"/>
          <w14:ligatures w14:val="none"/>
        </w:rPr>
        <w:t> in the EU or CCPA in California to name a few that build on the foundation set by HIPAA. With the value of PHI much higher than that of payment card numbers and legislation being a bit more up in the air, this does create a market need for </w:t>
      </w:r>
    </w:p>
    <w:p w14:paraId="1D1C1352" w14:textId="77777777" w:rsidR="0052152A" w:rsidRDefault="0052152A" w:rsidP="0052152A">
      <w:pPr>
        <w:spacing w:after="420" w:line="240" w:lineRule="auto"/>
        <w:rPr>
          <w:rFonts w:ascii="Times New Roman" w:eastAsia="Times New Roman" w:hAnsi="Times New Roman" w:cs="Times New Roman"/>
          <w:kern w:val="0"/>
          <w:sz w:val="24"/>
          <w:szCs w:val="24"/>
          <w14:ligatures w14:val="none"/>
        </w:rPr>
      </w:pPr>
      <w:r w:rsidRPr="00C11785">
        <w:rPr>
          <w:rFonts w:ascii="Times New Roman" w:eastAsia="Times New Roman" w:hAnsi="Times New Roman" w:cs="Times New Roman"/>
          <w:kern w:val="0"/>
          <w:sz w:val="24"/>
          <w:szCs w:val="24"/>
          <w14:ligatures w14:val="none"/>
        </w:rPr>
        <w:t>Ultimately, PCI DSS and HIPAA both aim to secure entirely different types of information while attempting to meet a similar need: data security. While there is a degree of overlap, it is not enough to constitute any sort of real benefit from focusing on one over the other. In fact, simply becoming compliant for either leaves you exposed to noncompliance in the event of an audit. </w:t>
      </w:r>
    </w:p>
    <w:p w14:paraId="284DB526" w14:textId="77777777" w:rsidR="008D798E" w:rsidRDefault="008D798E"/>
    <w:sectPr w:rsidR="008D7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72228"/>
    <w:multiLevelType w:val="multilevel"/>
    <w:tmpl w:val="3372F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9363B1"/>
    <w:multiLevelType w:val="multilevel"/>
    <w:tmpl w:val="B25CE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666B82"/>
    <w:multiLevelType w:val="multilevel"/>
    <w:tmpl w:val="5866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4A79FE"/>
    <w:multiLevelType w:val="multilevel"/>
    <w:tmpl w:val="AB7AF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37125142">
    <w:abstractNumId w:val="0"/>
  </w:num>
  <w:num w:numId="2" w16cid:durableId="1909147615">
    <w:abstractNumId w:val="2"/>
  </w:num>
  <w:num w:numId="3" w16cid:durableId="720246216">
    <w:abstractNumId w:val="3"/>
  </w:num>
  <w:num w:numId="4" w16cid:durableId="132337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170"/>
    <w:rsid w:val="0024297D"/>
    <w:rsid w:val="0052152A"/>
    <w:rsid w:val="00577AAB"/>
    <w:rsid w:val="0083789F"/>
    <w:rsid w:val="008D798E"/>
    <w:rsid w:val="009E6281"/>
    <w:rsid w:val="00B0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A5026"/>
  <w15:chartTrackingRefBased/>
  <w15:docId w15:val="{CFED65A9-A786-C547-8FCA-42FE6748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52A"/>
    <w:pPr>
      <w:spacing w:after="160" w:line="259" w:lineRule="auto"/>
    </w:pPr>
    <w:rPr>
      <w:sz w:val="22"/>
      <w:szCs w:val="22"/>
    </w:rPr>
  </w:style>
  <w:style w:type="paragraph" w:styleId="Heading1">
    <w:name w:val="heading 1"/>
    <w:basedOn w:val="Normal"/>
    <w:next w:val="Normal"/>
    <w:link w:val="Heading1Char"/>
    <w:uiPriority w:val="9"/>
    <w:qFormat/>
    <w:rsid w:val="00B071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71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71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71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71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717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717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717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717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1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71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71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71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71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71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71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71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7170"/>
    <w:rPr>
      <w:rFonts w:eastAsiaTheme="majorEastAsia" w:cstheme="majorBidi"/>
      <w:color w:val="272727" w:themeColor="text1" w:themeTint="D8"/>
    </w:rPr>
  </w:style>
  <w:style w:type="paragraph" w:styleId="Title">
    <w:name w:val="Title"/>
    <w:basedOn w:val="Normal"/>
    <w:next w:val="Normal"/>
    <w:link w:val="TitleChar"/>
    <w:uiPriority w:val="10"/>
    <w:qFormat/>
    <w:rsid w:val="00B071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71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71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71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7170"/>
    <w:pPr>
      <w:spacing w:before="160"/>
      <w:jc w:val="center"/>
    </w:pPr>
    <w:rPr>
      <w:i/>
      <w:iCs/>
      <w:color w:val="404040" w:themeColor="text1" w:themeTint="BF"/>
    </w:rPr>
  </w:style>
  <w:style w:type="character" w:customStyle="1" w:styleId="QuoteChar">
    <w:name w:val="Quote Char"/>
    <w:basedOn w:val="DefaultParagraphFont"/>
    <w:link w:val="Quote"/>
    <w:uiPriority w:val="29"/>
    <w:rsid w:val="00B07170"/>
    <w:rPr>
      <w:i/>
      <w:iCs/>
      <w:color w:val="404040" w:themeColor="text1" w:themeTint="BF"/>
    </w:rPr>
  </w:style>
  <w:style w:type="paragraph" w:styleId="ListParagraph">
    <w:name w:val="List Paragraph"/>
    <w:basedOn w:val="Normal"/>
    <w:uiPriority w:val="34"/>
    <w:qFormat/>
    <w:rsid w:val="00B07170"/>
    <w:pPr>
      <w:ind w:left="720"/>
      <w:contextualSpacing/>
    </w:pPr>
  </w:style>
  <w:style w:type="character" w:styleId="IntenseEmphasis">
    <w:name w:val="Intense Emphasis"/>
    <w:basedOn w:val="DefaultParagraphFont"/>
    <w:uiPriority w:val="21"/>
    <w:qFormat/>
    <w:rsid w:val="00B07170"/>
    <w:rPr>
      <w:i/>
      <w:iCs/>
      <w:color w:val="0F4761" w:themeColor="accent1" w:themeShade="BF"/>
    </w:rPr>
  </w:style>
  <w:style w:type="paragraph" w:styleId="IntenseQuote">
    <w:name w:val="Intense Quote"/>
    <w:basedOn w:val="Normal"/>
    <w:next w:val="Normal"/>
    <w:link w:val="IntenseQuoteChar"/>
    <w:uiPriority w:val="30"/>
    <w:qFormat/>
    <w:rsid w:val="00B071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7170"/>
    <w:rPr>
      <w:i/>
      <w:iCs/>
      <w:color w:val="0F4761" w:themeColor="accent1" w:themeShade="BF"/>
    </w:rPr>
  </w:style>
  <w:style w:type="character" w:styleId="IntenseReference">
    <w:name w:val="Intense Reference"/>
    <w:basedOn w:val="DefaultParagraphFont"/>
    <w:uiPriority w:val="32"/>
    <w:qFormat/>
    <w:rsid w:val="00B07170"/>
    <w:rPr>
      <w:b/>
      <w:bCs/>
      <w:smallCaps/>
      <w:color w:val="0F4761" w:themeColor="accent1" w:themeShade="BF"/>
      <w:spacing w:val="5"/>
    </w:rPr>
  </w:style>
  <w:style w:type="character" w:styleId="Strong">
    <w:name w:val="Strong"/>
    <w:basedOn w:val="DefaultParagraphFont"/>
    <w:uiPriority w:val="22"/>
    <w:qFormat/>
    <w:rsid w:val="005215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lawreview.com/article/pci-dss-40-introduces-transformational-change-new-risk-analysis-governance" TargetMode="External"/><Relationship Id="rId18" Type="http://schemas.openxmlformats.org/officeDocument/2006/relationships/hyperlink" Target="https://pcidssguide.com/whats-new-in-pci-dss-v4-0/" TargetMode="External"/><Relationship Id="rId26" Type="http://schemas.openxmlformats.org/officeDocument/2006/relationships/hyperlink" Target="https://www.natlawreview.com/article/pci-dss-40-introduces-transformational-change-new-risk-analysis-governance" TargetMode="External"/><Relationship Id="rId3" Type="http://schemas.openxmlformats.org/officeDocument/2006/relationships/settings" Target="settings.xml"/><Relationship Id="rId21" Type="http://schemas.openxmlformats.org/officeDocument/2006/relationships/hyperlink" Target="https://convergetp.com/2023/02/28/pci-dss-v4-0-is-coming-heres-what-you-need-to-know-now/" TargetMode="External"/><Relationship Id="rId34" Type="http://schemas.openxmlformats.org/officeDocument/2006/relationships/hyperlink" Target="https://www.accountablehq.com/post/the-general-data-protection-regulation-gdpr" TargetMode="External"/><Relationship Id="rId7" Type="http://schemas.openxmlformats.org/officeDocument/2006/relationships/hyperlink" Target="https://convergetp.com/2023/02/28/pci-dss-v4-0-is-coming-heres-what-you-need-to-know-now/" TargetMode="External"/><Relationship Id="rId12" Type="http://schemas.openxmlformats.org/officeDocument/2006/relationships/hyperlink" Target="https://convergetp.com/2023/02/28/pci-dss-v4-0-is-coming-heres-what-you-need-to-know-now/" TargetMode="External"/><Relationship Id="rId17" Type="http://schemas.openxmlformats.org/officeDocument/2006/relationships/hyperlink" Target="https://www.natlawreview.com/article/pci-dss-40-introduces-transformational-change-new-risk-analysis-governance" TargetMode="External"/><Relationship Id="rId25" Type="http://schemas.openxmlformats.org/officeDocument/2006/relationships/hyperlink" Target="https://convergetp.com/2023/02/28/pci-dss-v4-0-is-coming-heres-what-you-need-to-know-now/" TargetMode="External"/><Relationship Id="rId33" Type="http://schemas.openxmlformats.org/officeDocument/2006/relationships/hyperlink" Target="https://www.accountablehq.com/post/why-is-phi-valuable-to-hackers" TargetMode="External"/><Relationship Id="rId2" Type="http://schemas.openxmlformats.org/officeDocument/2006/relationships/styles" Target="styles.xml"/><Relationship Id="rId16" Type="http://schemas.openxmlformats.org/officeDocument/2006/relationships/hyperlink" Target="https://rsmus.com/insights/services/risk-fraud-cybersecurity/pci-dss-version-4-point-0-is-here-what-you-need-to-know-now.html" TargetMode="External"/><Relationship Id="rId20" Type="http://schemas.openxmlformats.org/officeDocument/2006/relationships/hyperlink" Target="https://convergetp.com/2023/02/28/pci-dss-v4-0-is-coming-heres-what-you-need-to-know-now/" TargetMode="External"/><Relationship Id="rId29" Type="http://schemas.openxmlformats.org/officeDocument/2006/relationships/hyperlink" Target="https://rsmus.com/insights/services/risk-fraud-cybersecurity/pci-dss-version-4-point-0-is-here-what-you-need-to-know-now.html" TargetMode="External"/><Relationship Id="rId1" Type="http://schemas.openxmlformats.org/officeDocument/2006/relationships/numbering" Target="numbering.xml"/><Relationship Id="rId6" Type="http://schemas.openxmlformats.org/officeDocument/2006/relationships/hyperlink" Target="https://pcidssguide.com/whats-new-in-pci-dss-v4-0/" TargetMode="External"/><Relationship Id="rId11" Type="http://schemas.openxmlformats.org/officeDocument/2006/relationships/hyperlink" Target="https://pcidssguide.com/whats-new-in-pci-dss-v4-0/" TargetMode="External"/><Relationship Id="rId24" Type="http://schemas.openxmlformats.org/officeDocument/2006/relationships/hyperlink" Target="https://pcidssguide.com/whats-new-in-pci-dss-v4-0/" TargetMode="External"/><Relationship Id="rId32" Type="http://schemas.openxmlformats.org/officeDocument/2006/relationships/hyperlink" Target="https://www.accountablehq.com/post/steps-to-become-hipaa-compliant" TargetMode="External"/><Relationship Id="rId5" Type="http://schemas.openxmlformats.org/officeDocument/2006/relationships/hyperlink" Target="https://pcidssguide.com/whats-new-in-pci-dss-v4-0/" TargetMode="External"/><Relationship Id="rId15" Type="http://schemas.openxmlformats.org/officeDocument/2006/relationships/hyperlink" Target="https://convergetp.com/2023/02/28/pci-dss-v4-0-is-coming-heres-what-you-need-to-know-now/" TargetMode="External"/><Relationship Id="rId23" Type="http://schemas.openxmlformats.org/officeDocument/2006/relationships/hyperlink" Target="https://pcidssguide.com/whats-new-in-pci-dss-v4-0/" TargetMode="External"/><Relationship Id="rId28" Type="http://schemas.openxmlformats.org/officeDocument/2006/relationships/hyperlink" Target="https://convergetp.com/2023/02/28/pci-dss-v4-0-is-coming-heres-what-you-need-to-know-now/" TargetMode="External"/><Relationship Id="rId36" Type="http://schemas.openxmlformats.org/officeDocument/2006/relationships/theme" Target="theme/theme1.xml"/><Relationship Id="rId10" Type="http://schemas.openxmlformats.org/officeDocument/2006/relationships/hyperlink" Target="https://pcidssguide.com/whats-new-in-pci-dss-v4-0/" TargetMode="External"/><Relationship Id="rId19" Type="http://schemas.openxmlformats.org/officeDocument/2006/relationships/hyperlink" Target="https://pcidssguide.com/whats-new-in-pci-dss-v4-0/" TargetMode="External"/><Relationship Id="rId31" Type="http://schemas.openxmlformats.org/officeDocument/2006/relationships/hyperlink" Target="https://www.accountablehq.com/page/pci-dss-compliance-levels" TargetMode="External"/><Relationship Id="rId4" Type="http://schemas.openxmlformats.org/officeDocument/2006/relationships/webSettings" Target="webSettings.xml"/><Relationship Id="rId9" Type="http://schemas.openxmlformats.org/officeDocument/2006/relationships/hyperlink" Target="https://rsmus.com/insights/services/risk-fraud-cybersecurity/pci-dss-version-4-point-0-is-here-what-you-need-to-know-now.html" TargetMode="External"/><Relationship Id="rId14" Type="http://schemas.openxmlformats.org/officeDocument/2006/relationships/hyperlink" Target="https://convergetp.com/2023/02/28/pci-dss-v4-0-is-coming-heres-what-you-need-to-know-now/" TargetMode="External"/><Relationship Id="rId22" Type="http://schemas.openxmlformats.org/officeDocument/2006/relationships/hyperlink" Target="https://rsmus.com/insights/services/risk-fraud-cybersecurity/pci-dss-version-4-point-0-is-here-what-you-need-to-know-now.html" TargetMode="External"/><Relationship Id="rId27" Type="http://schemas.openxmlformats.org/officeDocument/2006/relationships/hyperlink" Target="https://convergetp.com/2023/02/28/pci-dss-v4-0-is-coming-heres-what-you-need-to-know-now/" TargetMode="External"/><Relationship Id="rId30" Type="http://schemas.openxmlformats.org/officeDocument/2006/relationships/hyperlink" Target="https://www.natlawreview.com/article/pci-dss-40-introduces-transformational-change-new-risk-analysis-governance" TargetMode="External"/><Relationship Id="rId35" Type="http://schemas.openxmlformats.org/officeDocument/2006/relationships/fontTable" Target="fontTable.xml"/><Relationship Id="rId8" Type="http://schemas.openxmlformats.org/officeDocument/2006/relationships/hyperlink" Target="https://convergetp.com/2023/02/28/pci-dss-v4-0-is-coming-heres-what-you-need-to-know-n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1718</Words>
  <Characters>9793</Characters>
  <Application>Microsoft Office Word</Application>
  <DocSecurity>0</DocSecurity>
  <Lines>81</Lines>
  <Paragraphs>22</Paragraphs>
  <ScaleCrop>false</ScaleCrop>
  <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jasonv@shcmedical.com</dc:creator>
  <cp:keywords/>
  <dc:description/>
  <cp:lastModifiedBy>jasonv@shcmedical.com</cp:lastModifiedBy>
  <cp:revision>2</cp:revision>
  <dcterms:created xsi:type="dcterms:W3CDTF">2024-12-08T14:45:00Z</dcterms:created>
  <dcterms:modified xsi:type="dcterms:W3CDTF">2024-12-08T14:46:00Z</dcterms:modified>
</cp:coreProperties>
</file>